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7DC32" w14:textId="77777777" w:rsidR="00662D0A" w:rsidRPr="00662D0A" w:rsidRDefault="00662D0A" w:rsidP="00662D0A">
      <w:pPr>
        <w:shd w:val="clear" w:color="auto" w:fill="FFFFFF"/>
        <w:spacing w:before="180" w:after="120"/>
        <w:outlineLvl w:val="0"/>
        <w:rPr>
          <w:rFonts w:ascii="Helvetica Neue" w:eastAsia="Times New Roman" w:hAnsi="Helvetica Neue" w:cs="Times New Roman"/>
          <w:b/>
          <w:bCs/>
          <w:color w:val="212121"/>
          <w:kern w:val="36"/>
          <w:sz w:val="33"/>
          <w:szCs w:val="33"/>
        </w:rPr>
      </w:pPr>
      <w:r w:rsidRPr="00662D0A">
        <w:rPr>
          <w:rFonts w:ascii="Helvetica Neue" w:eastAsia="Times New Roman" w:hAnsi="Helvetica Neue" w:cs="Times New Roman"/>
          <w:b/>
          <w:bCs/>
          <w:color w:val="212121"/>
          <w:kern w:val="36"/>
          <w:sz w:val="33"/>
          <w:szCs w:val="33"/>
        </w:rPr>
        <w:t>COVID-19 Research Recovery Plan: Animal-Based Research</w:t>
      </w:r>
    </w:p>
    <w:p w14:paraId="2F173505" w14:textId="77777777" w:rsidR="00662D0A" w:rsidRPr="00662D0A" w:rsidRDefault="00662D0A" w:rsidP="00662D0A">
      <w:pPr>
        <w:shd w:val="clear" w:color="auto" w:fill="FFFFFF"/>
        <w:spacing w:after="150"/>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In alignment with the most recent memo from the VPR to your unit leader (May 28th, 2020), the recovery of animal-based science activities will be based upon a phased approach involving the following specific criteria and approval processes: </w:t>
      </w:r>
    </w:p>
    <w:p w14:paraId="2859C5E7" w14:textId="77777777" w:rsidR="00662D0A" w:rsidRPr="00662D0A" w:rsidRDefault="00662D0A" w:rsidP="00662D0A">
      <w:pPr>
        <w:shd w:val="clear" w:color="auto" w:fill="FFFFFF"/>
        <w:spacing w:before="180" w:after="120"/>
        <w:outlineLvl w:val="1"/>
        <w:rPr>
          <w:rFonts w:ascii="Helvetica Neue" w:eastAsia="Times New Roman" w:hAnsi="Helvetica Neue" w:cs="Times New Roman"/>
          <w:b/>
          <w:bCs/>
          <w:color w:val="212121"/>
          <w:sz w:val="30"/>
          <w:szCs w:val="30"/>
        </w:rPr>
      </w:pPr>
      <w:r w:rsidRPr="00662D0A">
        <w:rPr>
          <w:rFonts w:ascii="Helvetica Neue" w:eastAsia="Times New Roman" w:hAnsi="Helvetica Neue" w:cs="Times New Roman"/>
          <w:b/>
          <w:bCs/>
          <w:color w:val="212121"/>
          <w:sz w:val="30"/>
          <w:szCs w:val="30"/>
        </w:rPr>
        <w:t>Phase-Specific Criteria for Reactivation of Animal-Based Activities</w:t>
      </w:r>
    </w:p>
    <w:p w14:paraId="1709F487" w14:textId="77777777" w:rsidR="00662D0A" w:rsidRPr="00662D0A" w:rsidRDefault="00662D0A" w:rsidP="00662D0A">
      <w:pPr>
        <w:shd w:val="clear" w:color="auto" w:fill="FFFFFF"/>
        <w:spacing w:after="150"/>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Adjudication of requests for reactivation of animal-based research will be based upon the following phase-specific criteria. </w:t>
      </w:r>
    </w:p>
    <w:p w14:paraId="73F6AF10" w14:textId="77777777" w:rsidR="00662D0A" w:rsidRPr="00662D0A" w:rsidRDefault="00662D0A" w:rsidP="00662D0A">
      <w:pPr>
        <w:shd w:val="clear" w:color="auto" w:fill="FFFFFF"/>
        <w:spacing w:after="150"/>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Please note that the continuance and activation of any experimental animal procedures is contingent upon the availability of staff and associated materials. In the event that resources are insufficient, procurement and procedures will be reviewed and possibly required to be ceased. This will be determined in part by the availability of animal health professionals and/or competent research staff as well as public health and Institutional directives. </w:t>
      </w:r>
    </w:p>
    <w:p w14:paraId="59A6F8B7" w14:textId="77777777" w:rsidR="00662D0A" w:rsidRPr="00662D0A" w:rsidRDefault="00662D0A" w:rsidP="00662D0A">
      <w:pPr>
        <w:shd w:val="clear" w:color="auto" w:fill="FFFFFF"/>
        <w:spacing w:before="180" w:after="120"/>
        <w:outlineLvl w:val="2"/>
        <w:rPr>
          <w:rFonts w:ascii="Helvetica Neue" w:eastAsia="Times New Roman" w:hAnsi="Helvetica Neue" w:cs="Times New Roman"/>
          <w:b/>
          <w:bCs/>
          <w:color w:val="212121"/>
          <w:sz w:val="27"/>
          <w:szCs w:val="27"/>
        </w:rPr>
      </w:pPr>
      <w:r w:rsidRPr="00662D0A">
        <w:rPr>
          <w:rFonts w:ascii="Helvetica Neue" w:eastAsia="Times New Roman" w:hAnsi="Helvetica Neue" w:cs="Times New Roman"/>
          <w:b/>
          <w:bCs/>
          <w:color w:val="212121"/>
          <w:sz w:val="27"/>
          <w:szCs w:val="27"/>
        </w:rPr>
        <w:t>Phase 1</w:t>
      </w:r>
    </w:p>
    <w:p w14:paraId="75A060B7" w14:textId="77777777" w:rsidR="00662D0A" w:rsidRPr="00662D0A" w:rsidRDefault="00662D0A" w:rsidP="00662D0A">
      <w:pPr>
        <w:shd w:val="clear" w:color="auto" w:fill="FFFFFF"/>
        <w:spacing w:after="150"/>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Based on available support from Animal Care and Veterinary Services, approval for animal-based science has been subject to pre-approval by the ACC-Crisis Response Team (CRT) based upon alignment with the following criteria and contingent upon operational capacities and institutional directives:</w:t>
      </w:r>
    </w:p>
    <w:p w14:paraId="24AB3D53" w14:textId="77777777" w:rsidR="00662D0A" w:rsidRPr="00662D0A" w:rsidRDefault="00662D0A" w:rsidP="00662D0A">
      <w:pPr>
        <w:numPr>
          <w:ilvl w:val="0"/>
          <w:numId w:val="1"/>
        </w:numPr>
        <w:shd w:val="clear" w:color="auto" w:fill="FFFFFF"/>
        <w:spacing w:before="100" w:beforeAutospacing="1" w:after="100" w:afterAutospacing="1"/>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COVID-funded/approved research;</w:t>
      </w:r>
      <w:r w:rsidRPr="00662D0A">
        <w:rPr>
          <w:rFonts w:ascii="Helvetica Neue" w:eastAsia="Times New Roman" w:hAnsi="Helvetica Neue" w:cs="Times New Roman"/>
          <w:color w:val="212121"/>
          <w:sz w:val="21"/>
          <w:szCs w:val="21"/>
        </w:rPr>
        <w:br/>
        <w:t> </w:t>
      </w:r>
    </w:p>
    <w:p w14:paraId="585C61E8" w14:textId="77777777" w:rsidR="00662D0A" w:rsidRPr="00662D0A" w:rsidRDefault="00662D0A" w:rsidP="00662D0A">
      <w:pPr>
        <w:numPr>
          <w:ilvl w:val="0"/>
          <w:numId w:val="1"/>
        </w:numPr>
        <w:shd w:val="clear" w:color="auto" w:fill="FFFFFF"/>
        <w:spacing w:before="100" w:beforeAutospacing="1" w:after="100" w:afterAutospacing="1"/>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Breeding priority 1 and 2 strains (per Strains Inventory exercise) for replacement of </w:t>
      </w:r>
      <w:r w:rsidRPr="00662D0A">
        <w:rPr>
          <w:rFonts w:ascii="Helvetica Neue" w:eastAsia="Times New Roman" w:hAnsi="Helvetica Neue" w:cs="Times New Roman"/>
          <w:i/>
          <w:iCs/>
          <w:color w:val="212121"/>
          <w:sz w:val="21"/>
          <w:szCs w:val="21"/>
        </w:rPr>
        <w:t>breeding</w:t>
      </w:r>
      <w:r w:rsidRPr="00662D0A">
        <w:rPr>
          <w:rFonts w:ascii="Helvetica Neue" w:eastAsia="Times New Roman" w:hAnsi="Helvetica Neue" w:cs="Times New Roman"/>
          <w:color w:val="212121"/>
          <w:sz w:val="21"/>
          <w:szCs w:val="21"/>
        </w:rPr>
        <w:t> stock or intermediate strains to achieve priority 1 and 2 strains;</w:t>
      </w:r>
      <w:r w:rsidRPr="00662D0A">
        <w:rPr>
          <w:rFonts w:ascii="Helvetica Neue" w:eastAsia="Times New Roman" w:hAnsi="Helvetica Neue" w:cs="Times New Roman"/>
          <w:color w:val="212121"/>
          <w:sz w:val="21"/>
          <w:szCs w:val="21"/>
        </w:rPr>
        <w:br/>
        <w:t> </w:t>
      </w:r>
    </w:p>
    <w:p w14:paraId="6B24E96E" w14:textId="77777777" w:rsidR="00662D0A" w:rsidRPr="00662D0A" w:rsidRDefault="00662D0A" w:rsidP="00662D0A">
      <w:pPr>
        <w:numPr>
          <w:ilvl w:val="0"/>
          <w:numId w:val="1"/>
        </w:numPr>
        <w:shd w:val="clear" w:color="auto" w:fill="FFFFFF"/>
        <w:spacing w:before="100" w:beforeAutospacing="1" w:after="100" w:afterAutospacing="1"/>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Chronic on-going longitudinal studies (started prior to any recovery) that have been approved by the ACC-CRT, and are now time critical (manuscript/grant/grad thesis figure preparation);</w:t>
      </w:r>
      <w:r w:rsidRPr="00662D0A">
        <w:rPr>
          <w:rFonts w:ascii="Helvetica Neue" w:eastAsia="Times New Roman" w:hAnsi="Helvetica Neue" w:cs="Times New Roman"/>
          <w:color w:val="212121"/>
          <w:sz w:val="21"/>
          <w:szCs w:val="21"/>
        </w:rPr>
        <w:br/>
        <w:t> </w:t>
      </w:r>
    </w:p>
    <w:p w14:paraId="021C0D3D" w14:textId="77777777" w:rsidR="00662D0A" w:rsidRPr="00662D0A" w:rsidRDefault="00662D0A" w:rsidP="00662D0A">
      <w:pPr>
        <w:numPr>
          <w:ilvl w:val="0"/>
          <w:numId w:val="1"/>
        </w:numPr>
        <w:shd w:val="clear" w:color="auto" w:fill="FFFFFF"/>
        <w:spacing w:before="100" w:beforeAutospacing="1" w:after="100" w:afterAutospacing="1"/>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Other studies that were put on hold between March and May that have been approved by the ACC-CRT, and are now time critical (manuscript/grant/grad thesis figure preparation) with significant investments represented, but do not include a survival surgery, i.e. acute or short-term non-invasive studies; and</w:t>
      </w:r>
      <w:r w:rsidRPr="00662D0A">
        <w:rPr>
          <w:rFonts w:ascii="Helvetica Neue" w:eastAsia="Times New Roman" w:hAnsi="Helvetica Neue" w:cs="Times New Roman"/>
          <w:color w:val="212121"/>
          <w:sz w:val="21"/>
          <w:szCs w:val="21"/>
        </w:rPr>
        <w:br/>
        <w:t> </w:t>
      </w:r>
    </w:p>
    <w:p w14:paraId="09347C69" w14:textId="77777777" w:rsidR="00662D0A" w:rsidRPr="00662D0A" w:rsidRDefault="00662D0A" w:rsidP="00662D0A">
      <w:pPr>
        <w:numPr>
          <w:ilvl w:val="0"/>
          <w:numId w:val="1"/>
        </w:numPr>
        <w:shd w:val="clear" w:color="auto" w:fill="FFFFFF"/>
        <w:spacing w:before="100" w:beforeAutospacing="1" w:after="100" w:afterAutospacing="1"/>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Field study animal captures, as approved by the VPR.</w:t>
      </w:r>
    </w:p>
    <w:p w14:paraId="3D9571CF" w14:textId="77777777" w:rsidR="00662D0A" w:rsidRPr="00662D0A" w:rsidRDefault="00662D0A" w:rsidP="00662D0A">
      <w:pPr>
        <w:shd w:val="clear" w:color="auto" w:fill="FFFFFF"/>
        <w:spacing w:before="180" w:after="120"/>
        <w:outlineLvl w:val="2"/>
        <w:rPr>
          <w:rFonts w:ascii="Helvetica Neue" w:eastAsia="Times New Roman" w:hAnsi="Helvetica Neue" w:cs="Times New Roman"/>
          <w:b/>
          <w:bCs/>
          <w:color w:val="212121"/>
          <w:sz w:val="27"/>
          <w:szCs w:val="27"/>
        </w:rPr>
      </w:pPr>
      <w:r w:rsidRPr="00662D0A">
        <w:rPr>
          <w:rFonts w:ascii="Helvetica Neue" w:eastAsia="Times New Roman" w:hAnsi="Helvetica Neue" w:cs="Times New Roman"/>
          <w:b/>
          <w:bCs/>
          <w:color w:val="212121"/>
          <w:sz w:val="27"/>
          <w:szCs w:val="27"/>
        </w:rPr>
        <w:t>Phase 2-4</w:t>
      </w:r>
    </w:p>
    <w:p w14:paraId="293BDC5F" w14:textId="77777777" w:rsidR="00662D0A" w:rsidRPr="00662D0A" w:rsidRDefault="00662D0A" w:rsidP="00662D0A">
      <w:pPr>
        <w:shd w:val="clear" w:color="auto" w:fill="FFFFFF"/>
        <w:spacing w:after="150"/>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Please see the decision tree to the right for details on the process to be followed during the following phases.</w:t>
      </w:r>
    </w:p>
    <w:p w14:paraId="7881EC52" w14:textId="0B47E11A" w:rsidR="00662D0A" w:rsidRPr="00662D0A" w:rsidRDefault="00662D0A" w:rsidP="00662D0A">
      <w:pPr>
        <w:shd w:val="clear" w:color="auto" w:fill="FFFFFF"/>
        <w:spacing w:after="150"/>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lastRenderedPageBreak/>
        <w:fldChar w:fldCharType="begin"/>
      </w:r>
      <w:r w:rsidRPr="00662D0A">
        <w:rPr>
          <w:rFonts w:ascii="Helvetica Neue" w:eastAsia="Times New Roman" w:hAnsi="Helvetica Neue" w:cs="Times New Roman"/>
          <w:color w:val="212121"/>
          <w:sz w:val="21"/>
          <w:szCs w:val="21"/>
        </w:rPr>
        <w:instrText xml:space="preserve"> INCLUDEPICTURE "/var/folders/9v/1yz9nh9s23bdywxl1sksky940000gn/T/com.microsoft.Word/WebArchiveCopyPasteTempFiles/reentry%20flowchart.png" \* MERGEFORMATINET </w:instrText>
      </w:r>
      <w:r w:rsidRPr="00662D0A">
        <w:rPr>
          <w:rFonts w:ascii="Helvetica Neue" w:eastAsia="Times New Roman" w:hAnsi="Helvetica Neue" w:cs="Times New Roman"/>
          <w:color w:val="212121"/>
          <w:sz w:val="21"/>
          <w:szCs w:val="21"/>
        </w:rPr>
        <w:fldChar w:fldCharType="separate"/>
      </w:r>
      <w:r w:rsidRPr="00662D0A">
        <w:rPr>
          <w:rFonts w:ascii="Helvetica Neue" w:eastAsia="Times New Roman" w:hAnsi="Helvetica Neue" w:cs="Times New Roman"/>
          <w:noProof/>
          <w:color w:val="212121"/>
          <w:sz w:val="21"/>
          <w:szCs w:val="21"/>
        </w:rPr>
        <w:drawing>
          <wp:inline distT="0" distB="0" distL="0" distR="0" wp14:anchorId="5AD42B24" wp14:editId="737FDCD6">
            <wp:extent cx="5943600" cy="8086725"/>
            <wp:effectExtent l="0" t="0" r="0" b="3175"/>
            <wp:docPr id="1" name="Picture 1" descr="Decisio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ision T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086725"/>
                    </a:xfrm>
                    <a:prstGeom prst="rect">
                      <a:avLst/>
                    </a:prstGeom>
                    <a:noFill/>
                    <a:ln>
                      <a:noFill/>
                    </a:ln>
                  </pic:spPr>
                </pic:pic>
              </a:graphicData>
            </a:graphic>
          </wp:inline>
        </w:drawing>
      </w:r>
      <w:r w:rsidRPr="00662D0A">
        <w:rPr>
          <w:rFonts w:ascii="Helvetica Neue" w:eastAsia="Times New Roman" w:hAnsi="Helvetica Neue" w:cs="Times New Roman"/>
          <w:color w:val="212121"/>
          <w:sz w:val="21"/>
          <w:szCs w:val="21"/>
        </w:rPr>
        <w:fldChar w:fldCharType="end"/>
      </w:r>
    </w:p>
    <w:p w14:paraId="2B53EE64" w14:textId="77777777" w:rsidR="00662D0A" w:rsidRPr="00662D0A" w:rsidRDefault="00662D0A" w:rsidP="00662D0A">
      <w:pPr>
        <w:shd w:val="clear" w:color="auto" w:fill="FFFFFF"/>
        <w:spacing w:before="180" w:after="120"/>
        <w:outlineLvl w:val="3"/>
        <w:rPr>
          <w:rFonts w:ascii="Helvetica Neue" w:eastAsia="Times New Roman" w:hAnsi="Helvetica Neue" w:cs="Times New Roman"/>
          <w:b/>
          <w:bCs/>
          <w:color w:val="212121"/>
        </w:rPr>
      </w:pPr>
      <w:r w:rsidRPr="00662D0A">
        <w:rPr>
          <w:rFonts w:ascii="Helvetica Neue" w:eastAsia="Times New Roman" w:hAnsi="Helvetica Neue" w:cs="Times New Roman"/>
          <w:b/>
          <w:bCs/>
          <w:color w:val="212121"/>
        </w:rPr>
        <w:lastRenderedPageBreak/>
        <w:t>Phase 2</w:t>
      </w:r>
    </w:p>
    <w:p w14:paraId="4DED3BAF" w14:textId="77777777" w:rsidR="00662D0A" w:rsidRPr="00662D0A" w:rsidRDefault="00662D0A" w:rsidP="00662D0A">
      <w:pPr>
        <w:shd w:val="clear" w:color="auto" w:fill="FFFFFF"/>
        <w:spacing w:after="150"/>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At this stage research capacity will be </w:t>
      </w:r>
      <w:r w:rsidRPr="00662D0A">
        <w:rPr>
          <w:rFonts w:ascii="Helvetica Neue" w:eastAsia="Times New Roman" w:hAnsi="Helvetica Neue" w:cs="Times New Roman"/>
          <w:b/>
          <w:bCs/>
          <w:color w:val="212121"/>
          <w:sz w:val="21"/>
          <w:szCs w:val="21"/>
        </w:rPr>
        <w:t>at ~20%</w:t>
      </w:r>
      <w:r w:rsidRPr="00662D0A">
        <w:rPr>
          <w:rFonts w:ascii="Helvetica Neue" w:eastAsia="Times New Roman" w:hAnsi="Helvetica Neue" w:cs="Times New Roman"/>
          <w:color w:val="212121"/>
          <w:sz w:val="21"/>
          <w:szCs w:val="21"/>
        </w:rPr>
        <w:t> at any given time, and will involve a two-tiered approval process, as outlined in the decision tree. The Dean / Department Head will notify the ACC-CRT of their pre-approval based upon the criteria below in order to assess its feasibility with respect to citywide operational capacity. The ACC-CRT will email the PI directly requesting further information. Once ACC-CRT approval is granted, the PI, Dean / Department Head will be notified.</w:t>
      </w:r>
    </w:p>
    <w:p w14:paraId="21177BBF" w14:textId="77777777" w:rsidR="00662D0A" w:rsidRPr="00662D0A" w:rsidRDefault="00662D0A" w:rsidP="00662D0A">
      <w:pPr>
        <w:shd w:val="clear" w:color="auto" w:fill="FFFFFF"/>
        <w:spacing w:after="150"/>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Approval will be based upon priority sequence in alignment with the following criteria and contingent upon operational capacities and institutional directives:</w:t>
      </w:r>
    </w:p>
    <w:p w14:paraId="1CF319B1" w14:textId="77777777" w:rsidR="00662D0A" w:rsidRPr="00662D0A" w:rsidRDefault="00662D0A" w:rsidP="00662D0A">
      <w:pPr>
        <w:numPr>
          <w:ilvl w:val="0"/>
          <w:numId w:val="2"/>
        </w:numPr>
        <w:shd w:val="clear" w:color="auto" w:fill="FFFFFF"/>
        <w:spacing w:before="100" w:beforeAutospacing="1" w:after="100" w:afterAutospacing="1"/>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Breeding of priority 1 strains for the production of </w:t>
      </w:r>
      <w:r w:rsidRPr="00662D0A">
        <w:rPr>
          <w:rFonts w:ascii="Helvetica Neue" w:eastAsia="Times New Roman" w:hAnsi="Helvetica Neue" w:cs="Times New Roman"/>
          <w:i/>
          <w:iCs/>
          <w:color w:val="212121"/>
          <w:sz w:val="21"/>
          <w:szCs w:val="21"/>
        </w:rPr>
        <w:t>experimental animals</w:t>
      </w:r>
      <w:r w:rsidRPr="00662D0A">
        <w:rPr>
          <w:rFonts w:ascii="Helvetica Neue" w:eastAsia="Times New Roman" w:hAnsi="Helvetica Neue" w:cs="Times New Roman"/>
          <w:color w:val="212121"/>
          <w:sz w:val="21"/>
          <w:szCs w:val="21"/>
        </w:rPr>
        <w:t>, or of intermediate strains to achieve priority 1 or 2 strains;</w:t>
      </w:r>
      <w:r w:rsidRPr="00662D0A">
        <w:rPr>
          <w:rFonts w:ascii="Helvetica Neue" w:eastAsia="Times New Roman" w:hAnsi="Helvetica Neue" w:cs="Times New Roman"/>
          <w:color w:val="212121"/>
          <w:sz w:val="21"/>
          <w:szCs w:val="21"/>
        </w:rPr>
        <w:br/>
        <w:t> </w:t>
      </w:r>
    </w:p>
    <w:p w14:paraId="352D63D5" w14:textId="77777777" w:rsidR="00662D0A" w:rsidRPr="00662D0A" w:rsidRDefault="00662D0A" w:rsidP="00662D0A">
      <w:pPr>
        <w:numPr>
          <w:ilvl w:val="0"/>
          <w:numId w:val="2"/>
        </w:numPr>
        <w:shd w:val="clear" w:color="auto" w:fill="FFFFFF"/>
        <w:spacing w:before="100" w:beforeAutospacing="1" w:after="100" w:afterAutospacing="1"/>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For non-mouse/rat species, breeding to generate additional experimental studies/animals will take into account species gestational period</w:t>
      </w:r>
      <w:r w:rsidRPr="00662D0A">
        <w:rPr>
          <w:rFonts w:ascii="Helvetica Neue" w:eastAsia="Times New Roman" w:hAnsi="Helvetica Neue" w:cs="Times New Roman"/>
          <w:color w:val="212121"/>
          <w:sz w:val="21"/>
          <w:szCs w:val="21"/>
        </w:rPr>
        <w:br/>
        <w:t> </w:t>
      </w:r>
    </w:p>
    <w:p w14:paraId="295BB5A0" w14:textId="77777777" w:rsidR="00662D0A" w:rsidRPr="00662D0A" w:rsidRDefault="00662D0A" w:rsidP="00662D0A">
      <w:pPr>
        <w:numPr>
          <w:ilvl w:val="0"/>
          <w:numId w:val="2"/>
        </w:numPr>
        <w:shd w:val="clear" w:color="auto" w:fill="FFFFFF"/>
        <w:spacing w:before="100" w:beforeAutospacing="1" w:after="100" w:afterAutospacing="1"/>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Studies that were put on hold between March and May and are now time critical (manuscript/grant/grad thesis figure preparation) with significant investments represented, and do include survival surgery;</w:t>
      </w:r>
      <w:r w:rsidRPr="00662D0A">
        <w:rPr>
          <w:rFonts w:ascii="Helvetica Neue" w:eastAsia="Times New Roman" w:hAnsi="Helvetica Neue" w:cs="Times New Roman"/>
          <w:color w:val="212121"/>
          <w:sz w:val="21"/>
          <w:szCs w:val="21"/>
        </w:rPr>
        <w:br/>
        <w:t> </w:t>
      </w:r>
    </w:p>
    <w:p w14:paraId="3E538D66" w14:textId="77777777" w:rsidR="00662D0A" w:rsidRPr="00662D0A" w:rsidRDefault="00662D0A" w:rsidP="00662D0A">
      <w:pPr>
        <w:numPr>
          <w:ilvl w:val="0"/>
          <w:numId w:val="2"/>
        </w:numPr>
        <w:shd w:val="clear" w:color="auto" w:fill="FFFFFF"/>
        <w:spacing w:before="100" w:beforeAutospacing="1" w:after="100" w:afterAutospacing="1"/>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Studies that were scheduled to be undertaken at this time that are now time critical, with and without survival surgery; and</w:t>
      </w:r>
      <w:r w:rsidRPr="00662D0A">
        <w:rPr>
          <w:rFonts w:ascii="Helvetica Neue" w:eastAsia="Times New Roman" w:hAnsi="Helvetica Neue" w:cs="Times New Roman"/>
          <w:color w:val="212121"/>
          <w:sz w:val="21"/>
          <w:szCs w:val="21"/>
        </w:rPr>
        <w:br/>
        <w:t> </w:t>
      </w:r>
    </w:p>
    <w:p w14:paraId="26644677" w14:textId="77777777" w:rsidR="00662D0A" w:rsidRPr="00662D0A" w:rsidRDefault="00662D0A" w:rsidP="00662D0A">
      <w:pPr>
        <w:numPr>
          <w:ilvl w:val="0"/>
          <w:numId w:val="2"/>
        </w:numPr>
        <w:shd w:val="clear" w:color="auto" w:fill="FFFFFF"/>
        <w:spacing w:before="100" w:beforeAutospacing="1" w:after="100" w:afterAutospacing="1"/>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animal procurement for new short-term studies on existing AUPs and newly approved Modifications.</w:t>
      </w:r>
      <w:r w:rsidRPr="00662D0A">
        <w:rPr>
          <w:rFonts w:ascii="Helvetica Neue" w:eastAsia="Times New Roman" w:hAnsi="Helvetica Neue" w:cs="Times New Roman"/>
          <w:color w:val="212121"/>
          <w:sz w:val="21"/>
          <w:szCs w:val="21"/>
        </w:rPr>
        <w:br/>
        <w:t> </w:t>
      </w:r>
    </w:p>
    <w:p w14:paraId="6FF016D9" w14:textId="77777777" w:rsidR="00662D0A" w:rsidRPr="00662D0A" w:rsidRDefault="00662D0A" w:rsidP="00662D0A">
      <w:pPr>
        <w:shd w:val="clear" w:color="auto" w:fill="FFFFFF"/>
        <w:spacing w:before="180" w:after="120"/>
        <w:outlineLvl w:val="3"/>
        <w:rPr>
          <w:rFonts w:ascii="Helvetica Neue" w:eastAsia="Times New Roman" w:hAnsi="Helvetica Neue" w:cs="Times New Roman"/>
          <w:b/>
          <w:bCs/>
          <w:color w:val="212121"/>
        </w:rPr>
      </w:pPr>
      <w:r w:rsidRPr="00662D0A">
        <w:rPr>
          <w:rFonts w:ascii="Helvetica Neue" w:eastAsia="Times New Roman" w:hAnsi="Helvetica Neue" w:cs="Times New Roman"/>
          <w:b/>
          <w:bCs/>
          <w:color w:val="212121"/>
        </w:rPr>
        <w:t>Phase 3</w:t>
      </w:r>
    </w:p>
    <w:p w14:paraId="68A977F1" w14:textId="77777777" w:rsidR="00662D0A" w:rsidRPr="00662D0A" w:rsidRDefault="00662D0A" w:rsidP="00662D0A">
      <w:pPr>
        <w:shd w:val="clear" w:color="auto" w:fill="FFFFFF"/>
        <w:spacing w:after="150"/>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At this stage research capacity will be at </w:t>
      </w:r>
      <w:r w:rsidRPr="00662D0A">
        <w:rPr>
          <w:rFonts w:ascii="Helvetica Neue" w:eastAsia="Times New Roman" w:hAnsi="Helvetica Neue" w:cs="Times New Roman"/>
          <w:b/>
          <w:bCs/>
          <w:color w:val="212121"/>
          <w:sz w:val="21"/>
          <w:szCs w:val="21"/>
        </w:rPr>
        <w:t>~40% </w:t>
      </w:r>
      <w:r w:rsidRPr="00662D0A">
        <w:rPr>
          <w:rFonts w:ascii="Helvetica Neue" w:eastAsia="Times New Roman" w:hAnsi="Helvetica Neue" w:cs="Times New Roman"/>
          <w:color w:val="212121"/>
          <w:sz w:val="21"/>
          <w:szCs w:val="21"/>
        </w:rPr>
        <w:t>at any given time, and will involve a two-tiered approval process, as outlined in the decision tree. The Dean / Department Head will notify the ACC-CRT of their pre-approval based upon the criteria below in order to assess its feasibility with respect to citywide operational capacity. The ACC-CRT will email the PI directly requesting further information. Once ACC-CRT approval is granted, the PI, Dean / Department Head will be notified.</w:t>
      </w:r>
    </w:p>
    <w:p w14:paraId="486B5528" w14:textId="77777777" w:rsidR="00662D0A" w:rsidRPr="00662D0A" w:rsidRDefault="00662D0A" w:rsidP="00662D0A">
      <w:pPr>
        <w:shd w:val="clear" w:color="auto" w:fill="FFFFFF"/>
        <w:spacing w:after="150"/>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Approval will be based upon priority sequence in alignment with the following criteria:</w:t>
      </w:r>
    </w:p>
    <w:p w14:paraId="58AEBBFE" w14:textId="77777777" w:rsidR="00662D0A" w:rsidRPr="00662D0A" w:rsidRDefault="00662D0A" w:rsidP="00662D0A">
      <w:pPr>
        <w:numPr>
          <w:ilvl w:val="0"/>
          <w:numId w:val="3"/>
        </w:numPr>
        <w:shd w:val="clear" w:color="auto" w:fill="FFFFFF"/>
        <w:spacing w:before="100" w:beforeAutospacing="1" w:after="100" w:afterAutospacing="1"/>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Studies continue, as per Phase 2; and</w:t>
      </w:r>
      <w:r w:rsidRPr="00662D0A">
        <w:rPr>
          <w:rFonts w:ascii="Helvetica Neue" w:eastAsia="Times New Roman" w:hAnsi="Helvetica Neue" w:cs="Times New Roman"/>
          <w:color w:val="212121"/>
          <w:sz w:val="21"/>
          <w:szCs w:val="21"/>
        </w:rPr>
        <w:br/>
        <w:t> </w:t>
      </w:r>
    </w:p>
    <w:p w14:paraId="426EDEA8" w14:textId="77777777" w:rsidR="00662D0A" w:rsidRPr="00662D0A" w:rsidRDefault="00662D0A" w:rsidP="00662D0A">
      <w:pPr>
        <w:numPr>
          <w:ilvl w:val="0"/>
          <w:numId w:val="3"/>
        </w:numPr>
        <w:shd w:val="clear" w:color="auto" w:fill="FFFFFF"/>
        <w:spacing w:before="100" w:beforeAutospacing="1" w:after="100" w:afterAutospacing="1"/>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Breeding of priority 2 strains for the production of experimental animals and where necessary, procurement of breeding replacements for priority 2 strains.</w:t>
      </w:r>
      <w:r w:rsidRPr="00662D0A">
        <w:rPr>
          <w:rFonts w:ascii="Helvetica Neue" w:eastAsia="Times New Roman" w:hAnsi="Helvetica Neue" w:cs="Times New Roman"/>
          <w:color w:val="212121"/>
          <w:sz w:val="21"/>
          <w:szCs w:val="21"/>
        </w:rPr>
        <w:br/>
        <w:t> </w:t>
      </w:r>
    </w:p>
    <w:p w14:paraId="3260B5A3" w14:textId="77777777" w:rsidR="00662D0A" w:rsidRPr="00662D0A" w:rsidRDefault="00662D0A" w:rsidP="00662D0A">
      <w:pPr>
        <w:shd w:val="clear" w:color="auto" w:fill="FFFFFF"/>
        <w:spacing w:before="180" w:after="120"/>
        <w:outlineLvl w:val="3"/>
        <w:rPr>
          <w:rFonts w:ascii="Helvetica Neue" w:eastAsia="Times New Roman" w:hAnsi="Helvetica Neue" w:cs="Times New Roman"/>
          <w:b/>
          <w:bCs/>
          <w:color w:val="212121"/>
        </w:rPr>
      </w:pPr>
      <w:r w:rsidRPr="00662D0A">
        <w:rPr>
          <w:rFonts w:ascii="Helvetica Neue" w:eastAsia="Times New Roman" w:hAnsi="Helvetica Neue" w:cs="Times New Roman"/>
          <w:b/>
          <w:bCs/>
          <w:color w:val="212121"/>
        </w:rPr>
        <w:t>Phase 4</w:t>
      </w:r>
    </w:p>
    <w:p w14:paraId="4325098D" w14:textId="77777777" w:rsidR="00662D0A" w:rsidRPr="00662D0A" w:rsidRDefault="00662D0A" w:rsidP="00662D0A">
      <w:pPr>
        <w:shd w:val="clear" w:color="auto" w:fill="FFFFFF"/>
        <w:spacing w:after="150"/>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At this stage research capacity will be at </w:t>
      </w:r>
      <w:r w:rsidRPr="00662D0A">
        <w:rPr>
          <w:rFonts w:ascii="Helvetica Neue" w:eastAsia="Times New Roman" w:hAnsi="Helvetica Neue" w:cs="Times New Roman"/>
          <w:b/>
          <w:bCs/>
          <w:color w:val="212121"/>
          <w:sz w:val="21"/>
          <w:szCs w:val="21"/>
        </w:rPr>
        <w:t>~60%</w:t>
      </w:r>
      <w:r w:rsidRPr="00662D0A">
        <w:rPr>
          <w:rFonts w:ascii="Helvetica Neue" w:eastAsia="Times New Roman" w:hAnsi="Helvetica Neue" w:cs="Times New Roman"/>
          <w:color w:val="212121"/>
          <w:sz w:val="21"/>
          <w:szCs w:val="21"/>
        </w:rPr>
        <w:t> at any given time, and will involve a two-tiered approval process, as outlined in the decision tree. The Dean / Department Head will notify the ACC-CRT of their pre-approval based upon the criteria below in order to assess its feasibility with respect to citywide operational capacity. The ACC-CRT will email the PI directly requesting further information. Once ACC-CRT approval is granted, the PI, Dean / Department Head will be notified.</w:t>
      </w:r>
    </w:p>
    <w:p w14:paraId="7EEC502B" w14:textId="77777777" w:rsidR="00662D0A" w:rsidRPr="00662D0A" w:rsidRDefault="00662D0A" w:rsidP="00662D0A">
      <w:pPr>
        <w:shd w:val="clear" w:color="auto" w:fill="FFFFFF"/>
        <w:spacing w:after="150"/>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lastRenderedPageBreak/>
        <w:t>Approval will be based on priority sequence in alignment with the following criteria, and contingent upon operational capacities and institutional directives, as outlined in the decision-tree:</w:t>
      </w:r>
    </w:p>
    <w:p w14:paraId="4ACC7BAE" w14:textId="77777777" w:rsidR="00662D0A" w:rsidRPr="00662D0A" w:rsidRDefault="00662D0A" w:rsidP="00662D0A">
      <w:pPr>
        <w:numPr>
          <w:ilvl w:val="0"/>
          <w:numId w:val="4"/>
        </w:numPr>
        <w:shd w:val="clear" w:color="auto" w:fill="FFFFFF"/>
        <w:spacing w:before="100" w:beforeAutospacing="1" w:after="100" w:afterAutospacing="1"/>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normal colony breeding processes;</w:t>
      </w:r>
      <w:r w:rsidRPr="00662D0A">
        <w:rPr>
          <w:rFonts w:ascii="Helvetica Neue" w:eastAsia="Times New Roman" w:hAnsi="Helvetica Neue" w:cs="Times New Roman"/>
          <w:color w:val="212121"/>
          <w:sz w:val="21"/>
          <w:szCs w:val="21"/>
        </w:rPr>
        <w:br/>
        <w:t> </w:t>
      </w:r>
    </w:p>
    <w:p w14:paraId="21B19802" w14:textId="77777777" w:rsidR="00662D0A" w:rsidRPr="00662D0A" w:rsidRDefault="00662D0A" w:rsidP="00662D0A">
      <w:pPr>
        <w:numPr>
          <w:ilvl w:val="0"/>
          <w:numId w:val="4"/>
        </w:numPr>
        <w:shd w:val="clear" w:color="auto" w:fill="FFFFFF"/>
        <w:spacing w:before="100" w:beforeAutospacing="1" w:after="100" w:afterAutospacing="1"/>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animal procurement for on-going studies;</w:t>
      </w:r>
      <w:r w:rsidRPr="00662D0A">
        <w:rPr>
          <w:rFonts w:ascii="Helvetica Neue" w:eastAsia="Times New Roman" w:hAnsi="Helvetica Neue" w:cs="Times New Roman"/>
          <w:color w:val="212121"/>
          <w:sz w:val="21"/>
          <w:szCs w:val="21"/>
        </w:rPr>
        <w:br/>
        <w:t> </w:t>
      </w:r>
    </w:p>
    <w:p w14:paraId="35213761" w14:textId="77777777" w:rsidR="00662D0A" w:rsidRPr="00662D0A" w:rsidRDefault="00662D0A" w:rsidP="00662D0A">
      <w:pPr>
        <w:numPr>
          <w:ilvl w:val="0"/>
          <w:numId w:val="4"/>
        </w:numPr>
        <w:shd w:val="clear" w:color="auto" w:fill="FFFFFF"/>
        <w:spacing w:before="100" w:beforeAutospacing="1" w:after="100" w:afterAutospacing="1"/>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animal procurement for new studies on existing AUPs, new AUPs and newly approved Modifications; and</w:t>
      </w:r>
      <w:r w:rsidRPr="00662D0A">
        <w:rPr>
          <w:rFonts w:ascii="Helvetica Neue" w:eastAsia="Times New Roman" w:hAnsi="Helvetica Neue" w:cs="Times New Roman"/>
          <w:color w:val="212121"/>
          <w:sz w:val="21"/>
          <w:szCs w:val="21"/>
        </w:rPr>
        <w:br/>
        <w:t> </w:t>
      </w:r>
    </w:p>
    <w:p w14:paraId="565655FC" w14:textId="77777777" w:rsidR="00662D0A" w:rsidRPr="00662D0A" w:rsidRDefault="00662D0A" w:rsidP="00662D0A">
      <w:pPr>
        <w:numPr>
          <w:ilvl w:val="0"/>
          <w:numId w:val="4"/>
        </w:numPr>
        <w:shd w:val="clear" w:color="auto" w:fill="FFFFFF"/>
        <w:spacing w:before="100" w:beforeAutospacing="1" w:after="100" w:afterAutospacing="1"/>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studies that were placed on hold – including non-critical – with and without survival surgery.</w:t>
      </w:r>
      <w:r w:rsidRPr="00662D0A">
        <w:rPr>
          <w:rFonts w:ascii="Helvetica Neue" w:eastAsia="Times New Roman" w:hAnsi="Helvetica Neue" w:cs="Times New Roman"/>
          <w:color w:val="212121"/>
          <w:sz w:val="21"/>
          <w:szCs w:val="21"/>
        </w:rPr>
        <w:br/>
        <w:t> </w:t>
      </w:r>
    </w:p>
    <w:p w14:paraId="492D84E8" w14:textId="77777777" w:rsidR="00662D0A" w:rsidRPr="00662D0A" w:rsidRDefault="00662D0A" w:rsidP="00662D0A">
      <w:pPr>
        <w:shd w:val="clear" w:color="auto" w:fill="FFFFFF"/>
        <w:spacing w:after="150"/>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We continue to partner with you during the phased recovery of animal-based science activities throughout Western and Lawson.</w:t>
      </w:r>
    </w:p>
    <w:p w14:paraId="72508262" w14:textId="77777777" w:rsidR="00662D0A" w:rsidRPr="00662D0A" w:rsidRDefault="00662D0A" w:rsidP="00662D0A">
      <w:pPr>
        <w:shd w:val="clear" w:color="auto" w:fill="FFFFFF"/>
        <w:spacing w:after="150"/>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 xml:space="preserve">Should you have any questions or concerns, feel free to contact us at &lt;a </w:t>
      </w:r>
      <w:proofErr w:type="spellStart"/>
      <w:r w:rsidRPr="00662D0A">
        <w:rPr>
          <w:rFonts w:ascii="Helvetica Neue" w:eastAsia="Times New Roman" w:hAnsi="Helvetica Neue" w:cs="Times New Roman"/>
          <w:color w:val="212121"/>
          <w:sz w:val="21"/>
          <w:szCs w:val="21"/>
        </w:rPr>
        <w:t>href</w:t>
      </w:r>
      <w:proofErr w:type="spellEnd"/>
      <w:r w:rsidRPr="00662D0A">
        <w:rPr>
          <w:rFonts w:ascii="Helvetica Neue" w:eastAsia="Times New Roman" w:hAnsi="Helvetica Neue" w:cs="Times New Roman"/>
          <w:color w:val="212121"/>
          <w:sz w:val="21"/>
          <w:szCs w:val="21"/>
        </w:rPr>
        <w:t>="mailto:acc@uwo.ca"&gt;acc@uwo.ca&lt;/a&gt;.</w:t>
      </w:r>
    </w:p>
    <w:p w14:paraId="15A6DC18" w14:textId="77777777" w:rsidR="00662D0A" w:rsidRPr="00662D0A" w:rsidRDefault="00662D0A" w:rsidP="00662D0A">
      <w:pPr>
        <w:shd w:val="clear" w:color="auto" w:fill="FFFFFF"/>
        <w:spacing w:after="150"/>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Regards,</w:t>
      </w:r>
    </w:p>
    <w:p w14:paraId="3D564D2D" w14:textId="77777777" w:rsidR="00662D0A" w:rsidRPr="00662D0A" w:rsidRDefault="00662D0A" w:rsidP="00662D0A">
      <w:pPr>
        <w:shd w:val="clear" w:color="auto" w:fill="FFFFFF"/>
        <w:spacing w:after="150"/>
        <w:rPr>
          <w:rFonts w:ascii="Helvetica Neue" w:eastAsia="Times New Roman" w:hAnsi="Helvetica Neue" w:cs="Times New Roman"/>
          <w:color w:val="212121"/>
          <w:sz w:val="21"/>
          <w:szCs w:val="21"/>
        </w:rPr>
      </w:pPr>
      <w:r w:rsidRPr="00662D0A">
        <w:rPr>
          <w:rFonts w:ascii="Helvetica Neue" w:eastAsia="Times New Roman" w:hAnsi="Helvetica Neue" w:cs="Times New Roman"/>
          <w:color w:val="212121"/>
          <w:sz w:val="21"/>
          <w:szCs w:val="21"/>
        </w:rPr>
        <w:t>The ACC-CRT</w:t>
      </w:r>
    </w:p>
    <w:p w14:paraId="0AB756C6" w14:textId="77777777" w:rsidR="008D24E0" w:rsidRDefault="00662D0A"/>
    <w:sectPr w:rsidR="008D24E0" w:rsidSect="00CF05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40A34"/>
    <w:multiLevelType w:val="multilevel"/>
    <w:tmpl w:val="22348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023A1B"/>
    <w:multiLevelType w:val="multilevel"/>
    <w:tmpl w:val="A5622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B9612F"/>
    <w:multiLevelType w:val="multilevel"/>
    <w:tmpl w:val="2A32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E63239"/>
    <w:multiLevelType w:val="multilevel"/>
    <w:tmpl w:val="D95E8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0A"/>
    <w:rsid w:val="00662D0A"/>
    <w:rsid w:val="00CF055C"/>
    <w:rsid w:val="00FE3C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4B791AD"/>
  <w15:chartTrackingRefBased/>
  <w15:docId w15:val="{D9208FC6-2105-C748-ADDE-BA0457ED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2D0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2D0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2D0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62D0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D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2D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2D0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2D0A"/>
    <w:rPr>
      <w:rFonts w:ascii="Times New Roman" w:eastAsia="Times New Roman" w:hAnsi="Times New Roman" w:cs="Times New Roman"/>
      <w:b/>
      <w:bCs/>
    </w:rPr>
  </w:style>
  <w:style w:type="paragraph" w:styleId="NormalWeb">
    <w:name w:val="Normal (Web)"/>
    <w:basedOn w:val="Normal"/>
    <w:uiPriority w:val="99"/>
    <w:semiHidden/>
    <w:unhideWhenUsed/>
    <w:rsid w:val="00662D0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62D0A"/>
  </w:style>
  <w:style w:type="character" w:styleId="Emphasis">
    <w:name w:val="Emphasis"/>
    <w:basedOn w:val="DefaultParagraphFont"/>
    <w:uiPriority w:val="20"/>
    <w:qFormat/>
    <w:rsid w:val="00662D0A"/>
    <w:rPr>
      <w:i/>
      <w:iCs/>
    </w:rPr>
  </w:style>
  <w:style w:type="character" w:styleId="Strong">
    <w:name w:val="Strong"/>
    <w:basedOn w:val="DefaultParagraphFont"/>
    <w:uiPriority w:val="22"/>
    <w:qFormat/>
    <w:rsid w:val="00662D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3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844</Words>
  <Characters>4816</Characters>
  <Application>Microsoft Office Word</Application>
  <DocSecurity>0</DocSecurity>
  <Lines>40</Lines>
  <Paragraphs>11</Paragraphs>
  <ScaleCrop>false</ScaleCrop>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Bellyou</dc:creator>
  <cp:keywords/>
  <dc:description/>
  <cp:lastModifiedBy>Miranda Bellyou</cp:lastModifiedBy>
  <cp:revision>1</cp:revision>
  <dcterms:created xsi:type="dcterms:W3CDTF">2020-05-29T18:18:00Z</dcterms:created>
  <dcterms:modified xsi:type="dcterms:W3CDTF">2020-05-29T18:19:00Z</dcterms:modified>
</cp:coreProperties>
</file>